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902"/>
        <w:gridCol w:w="491"/>
        <w:gridCol w:w="3913"/>
      </w:tblGrid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  <w:bookmarkStart w:id="0" w:name="_GoBack"/>
            <w:bookmarkEnd w:id="0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1- بِحَمْدِكَ ذِيْ الإكْرامِ ما دُمْتُ </w:t>
            </w:r>
            <w:proofErr w:type="spellStart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أَبْتَدِي</w:t>
            </w:r>
            <w:proofErr w:type="spellEnd"/>
            <w:r>
              <w:rPr>
                <w:rFonts w:ascii="Lotus Linotype" w:hAnsi="Lotus Linotype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كَثيراً كَما تَرْضَى بِغَيْرِ تَحَدُّدِ</w:t>
            </w:r>
            <w:r>
              <w:rPr>
                <w:rFonts w:ascii="Lotus Linotype" w:hAnsi="Lotus Linotype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2- وَصَلِّ عَلَى خَيْرِ الأَنامِ </w:t>
            </w:r>
            <w:proofErr w:type="spellStart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وَآلِهِ</w:t>
            </w:r>
            <w:proofErr w:type="spellEnd"/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وَأَصْحابِهِ مِنْ كُلِّ هادٍ وَمُهْتَدِي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3- وَكُنْ عالِماً أَنَّ الذُّنُوبَ جَمِيعَها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بِكُبْرَى وَصُغْرَى قُسِّمَتْ في المُجَوَّدِ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4- فَما فيهِ حَدٌّ في الدُّنا أَوْ تَوَعُّدٌ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بِأُخْرَى فَسِمْ كُبْرَى عَلَى نَصِّ أَحْمَدِ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5- وَزادَ حَفيدُ المَجْدِ أَوْ </w:t>
            </w:r>
            <w:proofErr w:type="spellStart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جَا</w:t>
            </w:r>
            <w:proofErr w:type="spellEnd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 وَعِيدُهُ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بِنَفيٍ لإيمانٍ وَلَعْنٍ مُبَعِّدِ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6- كَشِرْكٍ وَقَتْلِ النَّفْسِ إلا بِحَقِّها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وَأَكْلِ الرِّبا وَالسِّحْرِ مَعْ قَذْفِ نُهَّدِ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7- وَأَكْلِكَ أَمْوالَ اليَتامَى بِباطِلٍ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تَوَلِّيْكَ يَوْمَ الزَّحْفِ في حَرْبِ جُحَّدِ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8- كَذاكَ الزِّنا ثُمَّ اللِّواطُ وَشُرْبُهُمْ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خُمُوراً وقَطْعٌ لِلطَّريقِ المُمَهَّدِ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9- وسِرْقَةُ مالِ الغَيْرِ أَوْ أَكْلُ مالِهِ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بِباطِلِ صُنْعِ القَوْلِ وَالفِعْلِ واليَدِ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10- شَهادَةُ زُوْرٍ ثُمَّ عَقٌّ لِوالِدٍ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وَغِيْبَةُ مُغْتابٍ نَمِيمَةُ مُفْسِدِ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29672C" w:rsidRPr="00512619">
        <w:trPr>
          <w:trHeight w:hRule="exact" w:val="624"/>
          <w:jc w:val="center"/>
        </w:trPr>
        <w:tc>
          <w:tcPr>
            <w:tcW w:w="4008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11- يَمينٌ غَمُوسٌ تارِكٌ لِصَلاتِهِ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29672C" w:rsidRPr="00512619" w:rsidRDefault="0029672C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29672C" w:rsidRPr="0029672C" w:rsidRDefault="0029672C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مُصَلٍّ بِلا طُهْرٍ لَه بِتَعَمُّدِ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12- مُصَلٍّ بِغَيْرِ الوَقْتِ أَوْ غَيْرِ قِبْلَةٍ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مُصَلٍّ بِلا قُرْآنِهِ المُتَأَكِّدِ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13- قُنُوطُ الفَتَى مِنْ رَحْمَةِ اللهِ ثُمَّ قُلْ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إِساءَةُ ظَنٍّ بِالإلهِ المُوَحَّدِ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14- وَأَمْنٌ لِمَكْرِ اللهِ ثُمَّ قَطِيعَةٌ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لِذِيْ رَحِمٍ وَالكِبْرَ </w:t>
            </w:r>
            <w:proofErr w:type="spellStart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وَالخُيَلاْ</w:t>
            </w:r>
            <w:proofErr w:type="spellEnd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 اْعْدُدِ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15- كَذَا كَذِبٌ إنْ كانَ يَرْمِيْ بِفِتْنَةٍ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أَوِ المُفْتَرِيْ عَمْداً عَلَى المُصْطَفَىْ اْحْمَدِ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16- قِيادَةُ دَيُّوثٌ نِكاحُ مُحَلِّلٍ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وهِجْرَةُ عَدْلٍ مُسْلِمٍ وَمُوَحِّدِ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17- وَتَرْكٌ لِحَجٍّ مُسْتَطِيعاً وَمَنْعُهُ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زَكاةً وَحُكْمُ الحاكِمِ المُتَقَلِّدِ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18- بِخُلْفٍ لِحَقٍ وَارْتِشاءٌ وَفِطْرُهُ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بِلا عُذْرِنا في يَوْمِ شَهْرِ التَّعَبُّدِ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19- وَقَوْلٌ بِلا عِلْمٍ عَلَى دِينِ رَبِّنا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وَسَبٌّ لأَصْحابِ النَّبِيِّ مُحَمَّدِ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20- مُصِرٌّ عَلَى العِصْيانِ تَرْكُ تَنَزُّهٍ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مِنَ البَوْلِ في نَصِّ الحَدِيثِ المُسَدَّدِ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21- وَإتْيانُ مَنْ حاضَتْ بِفَرْجٍ وَنَشْزُها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عَلَى زَوْجِها مِنْ غَيْرِ عُذْرٍ مُمَهَّدِ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22- وَإلْحَاقُها بِالزَّوْجِ مَنْ حَمَلَتْهُ مِنْ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سِواهُ وَكِتْمانُ العُلُومِ لِمُهْتَدِ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lastRenderedPageBreak/>
              <w:t>23- وَتَصْويرُ ذِيْ رُوْحٍ وَإتْيانُ كاهِنٍ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وَإتْيانُ عَرّافٍ وَتَصْدِيقَهُمْ زِدِ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24- سُجُودٌ لِغَيْرِ اللهِ دَعْوَةُ مَنْ دَعا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إلى بِدْعَةٍ أَوْ لِلضَّلالَةِ ما هُدِي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25- غُلُولٌ وَنَوْحٌ وَالتَّطَيُّرُ بَعْدَهُ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وَأَكْلٌ وَشُرْبٌ في لُجَيْنٍ وَعَسْجَدِ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26- وَجَوْرُ المُوَصِّيْ في الوَصَايا وَمَنْعُهُ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لِمِيْراثِ وُرَّاثٍ إباقٌ لأَعْبُدِ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27- وَإتْيانُها في الدُّبْرِ بَيْعٌ لِحُرَّةٍ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وَمَنْ يَسْتَحِلُّ البَيْتَ قِبْلَةَ مَسْجِدِ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28- وَمِنْها اْكْتِتابٌ لِلرِّبا وَشَهادَةٌ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عَلَيْهِ وَذُو الوَجْهَيْنِ قُلْ لِلتَّوَعُدِ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29- وَمَنْ يَدَّعِيْ أَصْلاً وَلَيْسَ بِأَصْلِهِ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يَقُولُ أَنا ابْنُ الفاضِلِ </w:t>
            </w:r>
            <w:proofErr w:type="spellStart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المُتَمَجِّدِ</w:t>
            </w:r>
            <w:proofErr w:type="spellEnd"/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30- فَيَرْغَبُ عَنْ آبائِهِ وَجُدُودِهِ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وَلا سِيَّما إنْ يَنْتَسِبْ لِمُحَمَّدِ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31- وَغِشُّ إِمامٍ لِلرَّعِيَّةِ بَعْدَهُ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وُقُوعٌ عَلَى </w:t>
            </w:r>
            <w:proofErr w:type="spellStart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العَجْمَا</w:t>
            </w:r>
            <w:proofErr w:type="spellEnd"/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 xml:space="preserve"> البَهيمَةِ يُفْسِدِ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  <w:tr w:rsidR="00B64C4F" w:rsidRPr="00512619">
        <w:trPr>
          <w:trHeight w:hRule="exact" w:val="624"/>
          <w:jc w:val="center"/>
        </w:trPr>
        <w:tc>
          <w:tcPr>
            <w:tcW w:w="4008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32- وَتَرْكٌ لِتَجْميعٍ إساءَةُ مالِكٍ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  <w:tc>
          <w:tcPr>
            <w:tcW w:w="501" w:type="dxa"/>
          </w:tcPr>
          <w:p w:rsidR="00B64C4F" w:rsidRPr="00512619" w:rsidRDefault="00B64C4F">
            <w:pPr>
              <w:spacing w:before="120"/>
              <w:jc w:val="lowKashida"/>
              <w:rPr>
                <w:rFonts w:ascii="Lotus Linotype" w:hAnsi="Lotus Linotype"/>
                <w:rtl/>
                <w:lang w:bidi="ar-EG"/>
              </w:rPr>
            </w:pPr>
          </w:p>
        </w:tc>
        <w:tc>
          <w:tcPr>
            <w:tcW w:w="4013" w:type="dxa"/>
          </w:tcPr>
          <w:p w:rsidR="00B64C4F" w:rsidRPr="0029672C" w:rsidRDefault="00B64C4F">
            <w:pPr>
              <w:spacing w:before="120"/>
              <w:jc w:val="lowKashida"/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</w:pPr>
            <w:r w:rsidRPr="0029672C"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t>إلى القِنِّ ذا طَبْعٌ لَهُ في المُعَبَّدِ</w:t>
            </w:r>
            <w:r>
              <w:rPr>
                <w:rFonts w:ascii="adwa-assalaf" w:hAnsi="adwa-assalaf" w:cs="adwa-assalaf"/>
                <w:b/>
                <w:bCs w:val="0"/>
                <w:sz w:val="32"/>
                <w:rtl/>
                <w:lang w:bidi="ar-EG"/>
              </w:rPr>
              <w:br/>
            </w:r>
          </w:p>
        </w:tc>
      </w:tr>
    </w:tbl>
    <w:p w:rsidR="00162610" w:rsidRPr="0029672C" w:rsidRDefault="00162610" w:rsidP="00B64C4F">
      <w:pPr>
        <w:rPr>
          <w:rFonts w:ascii="adwa-assalaf" w:hAnsi="adwa-assalaf" w:cs="adwa-assalaf"/>
          <w:b/>
          <w:bCs w:val="0"/>
          <w:sz w:val="32"/>
          <w:rtl/>
          <w:lang w:bidi="ar-EG"/>
        </w:rPr>
      </w:pPr>
    </w:p>
    <w:sectPr w:rsidR="00162610" w:rsidRPr="0029672C" w:rsidSect="001626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36E4F"/>
    <w:rsid w:val="000D50A7"/>
    <w:rsid w:val="000E4914"/>
    <w:rsid w:val="00107F02"/>
    <w:rsid w:val="00132C72"/>
    <w:rsid w:val="00162610"/>
    <w:rsid w:val="001D0E34"/>
    <w:rsid w:val="002132DD"/>
    <w:rsid w:val="002225E9"/>
    <w:rsid w:val="00236B6E"/>
    <w:rsid w:val="00245677"/>
    <w:rsid w:val="002778D8"/>
    <w:rsid w:val="0029672C"/>
    <w:rsid w:val="00296BF5"/>
    <w:rsid w:val="002A3593"/>
    <w:rsid w:val="002A71C5"/>
    <w:rsid w:val="002D45F1"/>
    <w:rsid w:val="002E22F2"/>
    <w:rsid w:val="0033417E"/>
    <w:rsid w:val="003606FD"/>
    <w:rsid w:val="00374106"/>
    <w:rsid w:val="00374F85"/>
    <w:rsid w:val="003878DB"/>
    <w:rsid w:val="003A1ED0"/>
    <w:rsid w:val="003A792E"/>
    <w:rsid w:val="003C33A0"/>
    <w:rsid w:val="003E07BF"/>
    <w:rsid w:val="003F4370"/>
    <w:rsid w:val="00401494"/>
    <w:rsid w:val="00405FA6"/>
    <w:rsid w:val="004642E4"/>
    <w:rsid w:val="00490AAF"/>
    <w:rsid w:val="00496EF0"/>
    <w:rsid w:val="00550C39"/>
    <w:rsid w:val="00572521"/>
    <w:rsid w:val="005809E8"/>
    <w:rsid w:val="005B6B2A"/>
    <w:rsid w:val="005E7DFC"/>
    <w:rsid w:val="00691A21"/>
    <w:rsid w:val="006C1CBD"/>
    <w:rsid w:val="006E40DA"/>
    <w:rsid w:val="0072229A"/>
    <w:rsid w:val="007506E0"/>
    <w:rsid w:val="00767F2A"/>
    <w:rsid w:val="00784407"/>
    <w:rsid w:val="007919D1"/>
    <w:rsid w:val="007A315E"/>
    <w:rsid w:val="00810BE9"/>
    <w:rsid w:val="008260F0"/>
    <w:rsid w:val="0083166D"/>
    <w:rsid w:val="00832DB4"/>
    <w:rsid w:val="00836773"/>
    <w:rsid w:val="00841F41"/>
    <w:rsid w:val="0084218F"/>
    <w:rsid w:val="00842294"/>
    <w:rsid w:val="00883D7E"/>
    <w:rsid w:val="008C0B70"/>
    <w:rsid w:val="008E1544"/>
    <w:rsid w:val="00920DCA"/>
    <w:rsid w:val="00930DA3"/>
    <w:rsid w:val="009444FA"/>
    <w:rsid w:val="00975DA0"/>
    <w:rsid w:val="009C1B95"/>
    <w:rsid w:val="009F0281"/>
    <w:rsid w:val="00A137B0"/>
    <w:rsid w:val="00A451AA"/>
    <w:rsid w:val="00A70371"/>
    <w:rsid w:val="00A83133"/>
    <w:rsid w:val="00A858F6"/>
    <w:rsid w:val="00AB514D"/>
    <w:rsid w:val="00AB6DB6"/>
    <w:rsid w:val="00AB76EB"/>
    <w:rsid w:val="00B05F87"/>
    <w:rsid w:val="00B07E58"/>
    <w:rsid w:val="00B33F4A"/>
    <w:rsid w:val="00B37285"/>
    <w:rsid w:val="00B64C4F"/>
    <w:rsid w:val="00B72DDB"/>
    <w:rsid w:val="00B92373"/>
    <w:rsid w:val="00BA5D2D"/>
    <w:rsid w:val="00BA62D0"/>
    <w:rsid w:val="00BC0707"/>
    <w:rsid w:val="00C17F0B"/>
    <w:rsid w:val="00C5690F"/>
    <w:rsid w:val="00C626FB"/>
    <w:rsid w:val="00C66199"/>
    <w:rsid w:val="00CF45D9"/>
    <w:rsid w:val="00D41E19"/>
    <w:rsid w:val="00D42441"/>
    <w:rsid w:val="00DE6D47"/>
    <w:rsid w:val="00E11716"/>
    <w:rsid w:val="00E31193"/>
    <w:rsid w:val="00E5149C"/>
    <w:rsid w:val="00E717E8"/>
    <w:rsid w:val="00E764F5"/>
    <w:rsid w:val="00E906E0"/>
    <w:rsid w:val="00EE3FC9"/>
    <w:rsid w:val="00EE608A"/>
    <w:rsid w:val="00F03ADD"/>
    <w:rsid w:val="00F041F5"/>
    <w:rsid w:val="00FA2328"/>
    <w:rsid w:val="00FA3270"/>
    <w:rsid w:val="00FC05C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4D987D-B9AD-4541-BDD4-854BE0C8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Traditional Arabic" w:hAnsi="Traditional Arabic" w:cs="Traditional Arabic"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674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226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38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66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423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211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34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516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990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5587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90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161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551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101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364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87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91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519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042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712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89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43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551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186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26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44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3967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331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045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650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561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798">
              <w:marLeft w:val="35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nooriddin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albadry</dc:creator>
  <cp:keywords/>
  <dc:description/>
  <cp:lastModifiedBy>albadry</cp:lastModifiedBy>
  <cp:revision>2</cp:revision>
  <dcterms:created xsi:type="dcterms:W3CDTF">2021-03-28T12:27:00Z</dcterms:created>
  <dcterms:modified xsi:type="dcterms:W3CDTF">2021-03-28T12:37:00Z</dcterms:modified>
</cp:coreProperties>
</file>